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01BE" w14:textId="77777777" w:rsidR="001C1DD6" w:rsidRDefault="001C1DD6" w:rsidP="001C1DD6">
      <w:r>
        <w:t>Лекция 12. Проектирование развития компании, проектирование структуры капитала компании.</w:t>
      </w:r>
    </w:p>
    <w:p w14:paraId="24B9884D" w14:textId="77777777" w:rsidR="001C1DD6" w:rsidRDefault="001C1DD6" w:rsidP="001C1DD6">
      <w:r>
        <w:t>Вопрос об оптимизации долговой нагрузки компаний остается одной из нерешенных загадок финансового менеджмента, однако представляет один из ключевых элементов оценки стоимости компании. Базовые теории, разработанные еще в 60 - 70-е годы, уже не могут решить многие ключевые задачи, поставленные перед экономической наукой. С другой стороны, растущая волатильность рынков вызывает повышенный интерес к таким аспектам менеджмента, как жизненный цикл компаний, при этом современной науке присуще углубление и систематизация знаний из различных отраслей. Целью статьи является демонстрация альтернативной теоретической концепции оптимизации долговой нагрузки, которая объединяет жизненный цикл компании с традиционной моделью оптимизации левериджа по критерию минимизации средневзвешенной стоимости капитала (WACC).</w:t>
      </w:r>
    </w:p>
    <w:p w14:paraId="7CAEC73D" w14:textId="77777777" w:rsidR="001C1DD6" w:rsidRDefault="001C1DD6" w:rsidP="001C1DD6">
      <w:r>
        <w:t xml:space="preserve">Первый элемент концепции </w:t>
      </w:r>
      <w:proofErr w:type="gramStart"/>
      <w:r>
        <w:t>- это</w:t>
      </w:r>
      <w:proofErr w:type="gramEnd"/>
      <w:r>
        <w:t xml:space="preserve"> жизненный цикл предприятия. Ограниченность современных исследований заключается в том, что нет четкой взаимозависимости прошлых и будущих (ожидаемых) показателей компании, «сквозной» системы их динамики, а исторические и будущие денежные потоки анализируются индивидуально, без учета жизненного цикла. Здесь следует упомянуть работу Е. Глуховой [1]. В исследовании анализируются современные теории жизненных циклов, оценивается возможность их использования на практике. При этом уточняется, что «в классических теориях и исследованиях по анализу и проектированию организаций, как правило, рассматриваются зрелые или находящиеся на определенном этапе развития компании, при этом не учитываются детально предшествующие этапы развития организации или дальнейшие перспективы ее развития» [1, с. 111]. Соответственно, ученые при оптимизации структуры капитала сталкиваются с невозможностью четкой увязки прошлых показателей деятельности компании, соответствующих определенному этапу жизненного цикла как самой компании, так и отрасли, и ожидаемых показателей, опять же соответствующих определенному этапу цикла как компании, так и отрасли.</w:t>
      </w:r>
    </w:p>
    <w:p w14:paraId="581E641F" w14:textId="77777777" w:rsidR="001C1DD6" w:rsidRDefault="001C1DD6" w:rsidP="001C1DD6">
      <w:r>
        <w:t xml:space="preserve">Определенный интерес экономистов в настоящее время также вызывают современные концепции ученых, связанные как с общим становлением компании на протяжении жизненного цикла, так и с ее денежными потоками: модель жизненного цикла И. </w:t>
      </w:r>
      <w:proofErr w:type="spellStart"/>
      <w:r>
        <w:t>Адизеса</w:t>
      </w:r>
      <w:proofErr w:type="spellEnd"/>
      <w:r>
        <w:t xml:space="preserve"> [1, с. 112] и модель денежных потоков И. </w:t>
      </w:r>
      <w:proofErr w:type="spellStart"/>
      <w:r>
        <w:t>Ивашковской</w:t>
      </w:r>
      <w:proofErr w:type="spellEnd"/>
      <w:r>
        <w:t xml:space="preserve"> [2]. Первая модель демонстрирует концепцию поэтапного развития компании, начиная с момента зарождения и до момента смерти (рис. 1). Как изображено на рис. 1, самые большие риски присущи компании на стадиях, соответствующих росту, а наиболее значительный по величине денежный поток достигается на более поздних стадиях, расцвета и стабильности. При этом логична ситуация, при которой в середине жизненного цикла финансовый и инвестиционный денежные потоки как бы меняются местами, финансовый становится отрицательным, а инвестиционный - положительным.</w:t>
      </w:r>
    </w:p>
    <w:p w14:paraId="20F3E7EF" w14:textId="77777777" w:rsidR="001C1DD6" w:rsidRDefault="001C1DD6" w:rsidP="001C1DD6">
      <w:r>
        <w:t>Проанализируем рис.2. Компания начинает генерировать положительный операционный денежный поток на стадии юности, он достигает своих максимальных уровней на центральных стадиях жизненного цикла, расцвета и стабильности и далее уменьшается со стадии аристократизма. Поэтому максимальным уровням операционного денежного потока на центральных стадиях расцвета и стабильности должна соответствовать максимальная стоимость компании. Безусловно, в определенные моменты времени компания может испытывать конъюнктурные колебания стоимости, но очевидно, что общая зависимость для оценки фундаментальной стоимости представлена именно на рис. 2.</w:t>
      </w:r>
    </w:p>
    <w:p w14:paraId="48157A2A" w14:textId="77777777" w:rsidR="001C1DD6" w:rsidRDefault="001C1DD6" w:rsidP="001C1DD6">
      <w:r>
        <w:t xml:space="preserve">Следующим элементом является то, как связаны между собой стоимость бизнеса и леверидж компании. Статическая компромиссная теория, или теория соотношения выгод от использования «налогового щита» и издержек банкротства, обычно определяется путем построения двух </w:t>
      </w:r>
      <w:r>
        <w:lastRenderedPageBreak/>
        <w:t>графиков, на нижнем приводится средневзвешенная стоимость капитала, на верхнем - стоимость компании (рис. 3).</w:t>
      </w:r>
    </w:p>
    <w:p w14:paraId="0BBC8C9F" w14:textId="7AFC7BE4" w:rsidR="006F28D4" w:rsidRDefault="001C1DD6" w:rsidP="001C1DD6">
      <w:r>
        <w:t xml:space="preserve">Анализ рис. 3 показывает, что максимизация стоимости компании в некоторый произвольный момент времени tn2 достигается при минимуме функции средневзвешенной стоимости капитала (WACC). Как уже упоминалось, верхний график показывает стоимость компании, точнее, ее распределение в зависимости от средневзвешенной стоимости фондирования, нижний отражает саму фундаментальную зависимость для средневзвешенной стоимости капитала (WACC). Точка D* есть точка оптимальной структуры капитала. Тем не менее, очевидно, что рис. 3 демонстрирует «фотографию» долговой нагрузки фирмы по состоянию на некоторый оцениваемый момент времени. Здесь следует несколько расширить двухмерную интерпретацию оптимальной долговой нагрузки и дополнить ее третьим измерением, временем (t), для полноценного включения жизненного цикла в концепцию. Следует осуществить синтез графиков, которые продемонстрированы на рис. 1-3, в координатах трехмерного пространства. При этом шкала времени (t) служит для оценки стоимости компании, ключевой фактор постоянного движения стоимости в большую или меньшую сторону </w:t>
      </w:r>
      <w:proofErr w:type="gramStart"/>
      <w:r>
        <w:t>- это</w:t>
      </w:r>
      <w:proofErr w:type="gramEnd"/>
      <w:r>
        <w:t xml:space="preserve"> имплементированная фирмой структура капитала</w:t>
      </w:r>
    </w:p>
    <w:sectPr w:rsidR="006F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D6"/>
    <w:rsid w:val="001C1DD6"/>
    <w:rsid w:val="006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6D59"/>
  <w15:chartTrackingRefBased/>
  <w15:docId w15:val="{FC990713-961E-4B2A-9ECD-4E994F93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Yerassyl</dc:creator>
  <cp:keywords/>
  <dc:description/>
  <cp:lastModifiedBy>Yerassyl</cp:lastModifiedBy>
  <cp:revision>1</cp:revision>
  <dcterms:created xsi:type="dcterms:W3CDTF">2021-11-02T10:27:00Z</dcterms:created>
  <dcterms:modified xsi:type="dcterms:W3CDTF">2021-11-02T10:27:00Z</dcterms:modified>
</cp:coreProperties>
</file>